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TIBBİ VE AROMATİK BİTKİLER VEYA SÜS BİTKİLERİ ÜRETİMİNE YÖNELİK KİRALAMA AMAÇLI ÖN BAŞVURU İLANI</w:t>
      </w:r>
    </w:p>
    <w:p w:rsidR="00000000" w:rsidDel="00000000" w:rsidP="00000000" w:rsidRDefault="00000000" w:rsidRPr="00000000" w14:paraId="00000003">
      <w:pPr>
        <w:jc w:val="center"/>
        <w:rPr>
          <w:b w:val="0"/>
          <w:sz w:val="20"/>
          <w:szCs w:val="20"/>
          <w:vertAlign w:val="baseline"/>
        </w:rPr>
      </w:pPr>
      <w:r w:rsidDel="00000000" w:rsidR="00000000" w:rsidRPr="00000000">
        <w:rPr>
          <w:b w:val="1"/>
          <w:sz w:val="20"/>
          <w:szCs w:val="20"/>
          <w:vertAlign w:val="baseline"/>
          <w:rtl w:val="0"/>
        </w:rPr>
        <w:t xml:space="preserve">BOZÜYÜK KAYMAKAMLIĞINDAN</w:t>
      </w:r>
      <w:r w:rsidDel="00000000" w:rsidR="00000000" w:rsidRPr="00000000">
        <w:rPr>
          <w:rtl w:val="0"/>
        </w:rPr>
      </w:r>
    </w:p>
    <w:p w:rsidR="00000000" w:rsidDel="00000000" w:rsidP="00000000" w:rsidRDefault="00000000" w:rsidRPr="00000000" w14:paraId="00000004">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Milli Emlak Şefliği )</w:t>
      </w:r>
    </w:p>
    <w:p w:rsidR="00000000" w:rsidDel="00000000" w:rsidP="00000000" w:rsidRDefault="00000000" w:rsidRPr="00000000" w14:paraId="00000005">
      <w:pPr>
        <w:rPr>
          <w:vertAlign w:val="baseline"/>
        </w:rPr>
      </w:pPr>
      <w:r w:rsidDel="00000000" w:rsidR="00000000" w:rsidRPr="00000000">
        <w:rPr>
          <w:rtl w:val="0"/>
        </w:rPr>
      </w:r>
    </w:p>
    <w:p w:rsidR="00000000" w:rsidDel="00000000" w:rsidP="00000000" w:rsidRDefault="00000000" w:rsidRPr="00000000" w14:paraId="00000006">
      <w:pPr>
        <w:tabs>
          <w:tab w:val="left" w:pos="7560"/>
        </w:tabs>
        <w:jc w:val="both"/>
        <w:rPr>
          <w:sz w:val="20"/>
          <w:szCs w:val="20"/>
          <w:vertAlign w:val="baseline"/>
        </w:rPr>
      </w:pPr>
      <w:r w:rsidDel="00000000" w:rsidR="00000000" w:rsidRPr="00000000">
        <w:rPr>
          <w:sz w:val="20"/>
          <w:szCs w:val="20"/>
          <w:vertAlign w:val="baseline"/>
          <w:rtl w:val="0"/>
        </w:rPr>
        <w:t xml:space="preserve">              Aşağıda bilgileri yazılı mülkiyeti Hazine ait taşınmazlar, Hazine Taşınmazlarının İdaresi Hakkında Yönetmeliğin 72/A maddesi ile 379 sayılı Milli Emlak Genel Tebliğinde belirtilen usul ve esaslar çerçevesinde anılan Tebliğ eki Ek-1 sayılı listede belirtilen Tıbbi ve Aromatik Bitkiler veya Süs Bitkileri üretimi yapılmak üzere, Tarım İdaresince belirlenen hak sahiplerine 2886 sayılı Devlet İhale Kanununun 51/g maddesi uyarınca kiraya verilecektir.</w:t>
      </w:r>
    </w:p>
    <w:p w:rsidR="00000000" w:rsidDel="00000000" w:rsidP="00000000" w:rsidRDefault="00000000" w:rsidRPr="00000000" w14:paraId="00000007">
      <w:pPr>
        <w:tabs>
          <w:tab w:val="left" w:pos="7560"/>
        </w:tabs>
        <w:jc w:val="both"/>
        <w:rPr>
          <w:sz w:val="20"/>
          <w:szCs w:val="20"/>
          <w:vertAlign w:val="baseline"/>
        </w:rPr>
      </w:pPr>
      <w:r w:rsidDel="00000000" w:rsidR="00000000" w:rsidRPr="00000000">
        <w:rPr>
          <w:rtl w:val="0"/>
        </w:rPr>
      </w:r>
    </w:p>
    <w:tbl>
      <w:tblPr>
        <w:tblStyle w:val="Table1"/>
        <w:tblW w:w="14371.999999999998" w:type="dxa"/>
        <w:jc w:val="left"/>
        <w:tblInd w:w="1040.0" w:type="dxa"/>
        <w:tblLayout w:type="fixed"/>
        <w:tblLook w:val="0000"/>
      </w:tblPr>
      <w:tblGrid>
        <w:gridCol w:w="601"/>
        <w:gridCol w:w="1171"/>
        <w:gridCol w:w="1026"/>
        <w:gridCol w:w="1026"/>
        <w:gridCol w:w="731"/>
        <w:gridCol w:w="585"/>
        <w:gridCol w:w="879"/>
        <w:gridCol w:w="1471"/>
        <w:gridCol w:w="1171"/>
        <w:gridCol w:w="1164"/>
        <w:gridCol w:w="1911"/>
        <w:gridCol w:w="2636"/>
        <w:tblGridChange w:id="0">
          <w:tblGrid>
            <w:gridCol w:w="601"/>
            <w:gridCol w:w="1171"/>
            <w:gridCol w:w="1026"/>
            <w:gridCol w:w="1026"/>
            <w:gridCol w:w="731"/>
            <w:gridCol w:w="585"/>
            <w:gridCol w:w="879"/>
            <w:gridCol w:w="1471"/>
            <w:gridCol w:w="1171"/>
            <w:gridCol w:w="1164"/>
            <w:gridCol w:w="1911"/>
            <w:gridCol w:w="2636"/>
          </w:tblGrid>
        </w:tblGridChange>
      </w:tblGrid>
      <w:tr>
        <w:trPr>
          <w:trHeight w:val="611" w:hRule="atLeast"/>
        </w:trPr>
        <w:tc>
          <w:tcPr>
            <w:tcBorders>
              <w:top w:color="000000" w:space="0" w:sz="8" w:val="single"/>
              <w:left w:color="000000" w:space="0" w:sz="8" w:val="single"/>
              <w:bottom w:color="000000" w:space="0" w:sz="4" w:val="single"/>
              <w:right w:color="000000" w:space="0" w:sz="4" w:val="single"/>
            </w:tcBorders>
            <w:vAlign w:val="center"/>
          </w:tcPr>
          <w:p w:rsidR="00000000" w:rsidDel="00000000" w:rsidP="00000000" w:rsidRDefault="00000000" w:rsidRPr="00000000" w14:paraId="00000008">
            <w:pPr>
              <w:jc w:val="center"/>
              <w:rPr>
                <w:b w:val="0"/>
                <w:color w:val="000000"/>
                <w:sz w:val="16"/>
                <w:szCs w:val="16"/>
                <w:vertAlign w:val="baseline"/>
              </w:rPr>
            </w:pPr>
            <w:r w:rsidDel="00000000" w:rsidR="00000000" w:rsidRPr="00000000">
              <w:rPr>
                <w:b w:val="1"/>
                <w:color w:val="000000"/>
                <w:sz w:val="16"/>
                <w:szCs w:val="16"/>
                <w:vertAlign w:val="baseline"/>
                <w:rtl w:val="0"/>
              </w:rPr>
              <w:t xml:space="preserve">SIRA NO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09">
            <w:pPr>
              <w:jc w:val="center"/>
              <w:rPr>
                <w:b w:val="0"/>
                <w:color w:val="000000"/>
                <w:sz w:val="16"/>
                <w:szCs w:val="16"/>
                <w:vertAlign w:val="baseline"/>
              </w:rPr>
            </w:pPr>
            <w:r w:rsidDel="00000000" w:rsidR="00000000" w:rsidRPr="00000000">
              <w:rPr>
                <w:b w:val="1"/>
                <w:color w:val="000000"/>
                <w:sz w:val="16"/>
                <w:szCs w:val="16"/>
                <w:vertAlign w:val="baseline"/>
                <w:rtl w:val="0"/>
              </w:rPr>
              <w:t xml:space="preserve">İLİ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A">
            <w:pPr>
              <w:jc w:val="center"/>
              <w:rPr>
                <w:b w:val="0"/>
                <w:color w:val="000000"/>
                <w:sz w:val="16"/>
                <w:szCs w:val="16"/>
                <w:vertAlign w:val="baseline"/>
              </w:rPr>
            </w:pPr>
            <w:r w:rsidDel="00000000" w:rsidR="00000000" w:rsidRPr="00000000">
              <w:rPr>
                <w:rtl w:val="0"/>
              </w:rPr>
            </w:r>
          </w:p>
          <w:p w:rsidR="00000000" w:rsidDel="00000000" w:rsidP="00000000" w:rsidRDefault="00000000" w:rsidRPr="00000000" w14:paraId="0000000B">
            <w:pPr>
              <w:jc w:val="center"/>
              <w:rPr>
                <w:b w:val="0"/>
                <w:color w:val="000000"/>
                <w:sz w:val="16"/>
                <w:szCs w:val="16"/>
                <w:vertAlign w:val="baseline"/>
              </w:rPr>
            </w:pPr>
            <w:r w:rsidDel="00000000" w:rsidR="00000000" w:rsidRPr="00000000">
              <w:rPr>
                <w:b w:val="1"/>
                <w:color w:val="000000"/>
                <w:sz w:val="16"/>
                <w:szCs w:val="16"/>
                <w:vertAlign w:val="baseline"/>
                <w:rtl w:val="0"/>
              </w:rPr>
              <w:t xml:space="preserve">İLÇESİ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C">
            <w:pPr>
              <w:jc w:val="center"/>
              <w:rPr>
                <w:b w:val="0"/>
                <w:color w:val="000000"/>
                <w:sz w:val="16"/>
                <w:szCs w:val="16"/>
                <w:vertAlign w:val="baseline"/>
              </w:rPr>
            </w:pPr>
            <w:r w:rsidDel="00000000" w:rsidR="00000000" w:rsidRPr="00000000">
              <w:rPr>
                <w:b w:val="1"/>
                <w:color w:val="000000"/>
                <w:sz w:val="16"/>
                <w:szCs w:val="16"/>
                <w:vertAlign w:val="baseline"/>
                <w:rtl w:val="0"/>
              </w:rPr>
              <w:t xml:space="preserve">MAHALLE/KÖY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D">
            <w:pPr>
              <w:jc w:val="center"/>
              <w:rPr>
                <w:b w:val="0"/>
                <w:color w:val="000000"/>
                <w:sz w:val="16"/>
                <w:szCs w:val="16"/>
                <w:vertAlign w:val="baseline"/>
              </w:rPr>
            </w:pPr>
            <w:r w:rsidDel="00000000" w:rsidR="00000000" w:rsidRPr="00000000">
              <w:rPr>
                <w:b w:val="1"/>
                <w:color w:val="000000"/>
                <w:sz w:val="16"/>
                <w:szCs w:val="16"/>
                <w:vertAlign w:val="baseline"/>
                <w:rtl w:val="0"/>
              </w:rPr>
              <w:t xml:space="preserve">CİNSİ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E">
            <w:pPr>
              <w:jc w:val="center"/>
              <w:rPr>
                <w:b w:val="0"/>
                <w:color w:val="000000"/>
                <w:sz w:val="16"/>
                <w:szCs w:val="16"/>
                <w:vertAlign w:val="baseline"/>
              </w:rPr>
            </w:pPr>
            <w:r w:rsidDel="00000000" w:rsidR="00000000" w:rsidRPr="00000000">
              <w:rPr>
                <w:b w:val="1"/>
                <w:color w:val="000000"/>
                <w:sz w:val="16"/>
                <w:szCs w:val="16"/>
                <w:vertAlign w:val="baseline"/>
                <w:rtl w:val="0"/>
              </w:rPr>
              <w:t xml:space="preserve">ADA</w:t>
            </w:r>
            <w:r w:rsidDel="00000000" w:rsidR="00000000" w:rsidRPr="00000000">
              <w:rPr>
                <w:rtl w:val="0"/>
              </w:rPr>
            </w:r>
          </w:p>
        </w:tc>
        <w:tc>
          <w:tcPr>
            <w:tcBorders>
              <w:top w:color="000000" w:space="0" w:sz="8"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0F">
            <w:pPr>
              <w:jc w:val="center"/>
              <w:rPr>
                <w:b w:val="0"/>
                <w:color w:val="000000"/>
                <w:sz w:val="16"/>
                <w:szCs w:val="16"/>
                <w:vertAlign w:val="baseline"/>
              </w:rPr>
            </w:pPr>
            <w:r w:rsidDel="00000000" w:rsidR="00000000" w:rsidRPr="00000000">
              <w:rPr>
                <w:b w:val="1"/>
                <w:color w:val="000000"/>
                <w:sz w:val="16"/>
                <w:szCs w:val="16"/>
                <w:vertAlign w:val="baseline"/>
                <w:rtl w:val="0"/>
              </w:rPr>
              <w:t xml:space="preserve">PARSEL</w:t>
            </w:r>
            <w:r w:rsidDel="00000000" w:rsidR="00000000" w:rsidRPr="00000000">
              <w:rPr>
                <w:rtl w:val="0"/>
              </w:rPr>
            </w:r>
          </w:p>
        </w:tc>
        <w:tc>
          <w:tcPr>
            <w:tcBorders>
              <w:top w:color="000000" w:space="0" w:sz="8"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10">
            <w:pPr>
              <w:jc w:val="center"/>
              <w:rPr>
                <w:b w:val="0"/>
                <w:color w:val="000000"/>
                <w:sz w:val="16"/>
                <w:szCs w:val="16"/>
                <w:vertAlign w:val="baseline"/>
              </w:rPr>
            </w:pPr>
            <w:r w:rsidDel="00000000" w:rsidR="00000000" w:rsidRPr="00000000">
              <w:rPr>
                <w:b w:val="1"/>
                <w:color w:val="000000"/>
                <w:sz w:val="16"/>
                <w:szCs w:val="16"/>
                <w:vertAlign w:val="baseline"/>
                <w:rtl w:val="0"/>
              </w:rPr>
              <w:t xml:space="preserve">YÜZÖLÇÜMÜ (M²)</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11">
            <w:pPr>
              <w:jc w:val="center"/>
              <w:rPr>
                <w:b w:val="0"/>
                <w:color w:val="000000"/>
                <w:sz w:val="16"/>
                <w:szCs w:val="16"/>
                <w:vertAlign w:val="baseline"/>
              </w:rPr>
            </w:pPr>
            <w:r w:rsidDel="00000000" w:rsidR="00000000" w:rsidRPr="00000000">
              <w:rPr>
                <w:b w:val="1"/>
                <w:color w:val="000000"/>
                <w:sz w:val="16"/>
                <w:szCs w:val="16"/>
                <w:vertAlign w:val="baseline"/>
                <w:rtl w:val="0"/>
              </w:rPr>
              <w:t xml:space="preserve">İMAR DURUMU</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2">
            <w:pPr>
              <w:jc w:val="center"/>
              <w:rPr>
                <w:b w:val="0"/>
                <w:color w:val="000000"/>
                <w:sz w:val="16"/>
                <w:szCs w:val="16"/>
                <w:vertAlign w:val="baseline"/>
              </w:rPr>
            </w:pPr>
            <w:r w:rsidDel="00000000" w:rsidR="00000000" w:rsidRPr="00000000">
              <w:rPr>
                <w:rtl w:val="0"/>
              </w:rPr>
            </w:r>
          </w:p>
          <w:p w:rsidR="00000000" w:rsidDel="00000000" w:rsidP="00000000" w:rsidRDefault="00000000" w:rsidRPr="00000000" w14:paraId="00000013">
            <w:pPr>
              <w:jc w:val="center"/>
              <w:rPr>
                <w:b w:val="0"/>
                <w:color w:val="000000"/>
                <w:sz w:val="16"/>
                <w:szCs w:val="16"/>
                <w:vertAlign w:val="baseline"/>
              </w:rPr>
            </w:pPr>
            <w:r w:rsidDel="00000000" w:rsidR="00000000" w:rsidRPr="00000000">
              <w:rPr>
                <w:b w:val="1"/>
                <w:color w:val="000000"/>
                <w:sz w:val="16"/>
                <w:szCs w:val="16"/>
                <w:vertAlign w:val="baseline"/>
                <w:rtl w:val="0"/>
              </w:rPr>
              <w:t xml:space="preserve">FİİLİ DURUMU</w:t>
            </w:r>
            <w:r w:rsidDel="00000000" w:rsidR="00000000" w:rsidRPr="00000000">
              <w:rPr>
                <w:rtl w:val="0"/>
              </w:rPr>
            </w:r>
          </w:p>
        </w:tc>
        <w:tc>
          <w:tcPr>
            <w:tcBorders>
              <w:top w:color="000000" w:space="0" w:sz="8"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14">
            <w:pPr>
              <w:jc w:val="center"/>
              <w:rPr>
                <w:b w:val="0"/>
                <w:color w:val="000000"/>
                <w:sz w:val="16"/>
                <w:szCs w:val="16"/>
                <w:vertAlign w:val="baseline"/>
              </w:rPr>
            </w:pPr>
            <w:r w:rsidDel="00000000" w:rsidR="00000000" w:rsidRPr="00000000">
              <w:rPr>
                <w:b w:val="1"/>
                <w:color w:val="000000"/>
                <w:sz w:val="16"/>
                <w:szCs w:val="16"/>
                <w:vertAlign w:val="baseline"/>
                <w:rtl w:val="0"/>
              </w:rPr>
              <w:t xml:space="preserve">1 YILLIK TAHMİNİ KİRA BEDELİ (TL)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15">
            <w:pPr>
              <w:jc w:val="center"/>
              <w:rPr>
                <w:b w:val="0"/>
                <w:color w:val="000000"/>
                <w:sz w:val="16"/>
                <w:szCs w:val="16"/>
                <w:vertAlign w:val="baseline"/>
              </w:rPr>
            </w:pPr>
            <w:r w:rsidDel="00000000" w:rsidR="00000000" w:rsidRPr="00000000">
              <w:rPr>
                <w:b w:val="1"/>
                <w:color w:val="000000"/>
                <w:sz w:val="16"/>
                <w:szCs w:val="16"/>
                <w:vertAlign w:val="baseline"/>
                <w:rtl w:val="0"/>
              </w:rPr>
              <w:t xml:space="preserve">SON BAŞVURU TARİHİ / SAATİ</w:t>
            </w:r>
            <w:r w:rsidDel="00000000" w:rsidR="00000000" w:rsidRPr="00000000">
              <w:rPr>
                <w:rtl w:val="0"/>
              </w:rPr>
            </w:r>
          </w:p>
          <w:p w:rsidR="00000000" w:rsidDel="00000000" w:rsidP="00000000" w:rsidRDefault="00000000" w:rsidRPr="00000000" w14:paraId="00000016">
            <w:pPr>
              <w:jc w:val="center"/>
              <w:rPr>
                <w:b w:val="0"/>
                <w:color w:val="000000"/>
                <w:sz w:val="16"/>
                <w:szCs w:val="16"/>
                <w:vertAlign w:val="baseline"/>
              </w:rPr>
            </w:pPr>
            <w:r w:rsidDel="00000000" w:rsidR="00000000" w:rsidRPr="00000000">
              <w:rPr>
                <w:rtl w:val="0"/>
              </w:rPr>
            </w:r>
          </w:p>
        </w:tc>
      </w:tr>
      <w:tr>
        <w:trPr>
          <w:trHeight w:val="533" w:hRule="atLeast"/>
        </w:trPr>
        <w:tc>
          <w:tcPr>
            <w:tcBorders>
              <w:top w:color="000000" w:space="0" w:sz="0" w:val="nil"/>
              <w:left w:color="000000" w:space="0" w:sz="8" w:val="single"/>
              <w:bottom w:color="000000" w:space="0" w:sz="4" w:val="single"/>
              <w:right w:color="000000" w:space="0" w:sz="4" w:val="single"/>
            </w:tcBorders>
            <w:vAlign w:val="center"/>
          </w:tcPr>
          <w:p w:rsidR="00000000" w:rsidDel="00000000" w:rsidP="00000000" w:rsidRDefault="00000000" w:rsidRPr="00000000" w14:paraId="00000017">
            <w:pPr>
              <w:jc w:val="center"/>
              <w:rPr>
                <w:b w:val="0"/>
                <w:color w:val="000000"/>
                <w:sz w:val="16"/>
                <w:szCs w:val="16"/>
                <w:vertAlign w:val="baseline"/>
              </w:rPr>
            </w:pPr>
            <w:r w:rsidDel="00000000" w:rsidR="00000000" w:rsidRPr="00000000">
              <w:rPr>
                <w:b w:val="1"/>
                <w:color w:val="000000"/>
                <w:sz w:val="16"/>
                <w:szCs w:val="16"/>
                <w:vertAlign w:val="baseline"/>
                <w:rtl w:val="0"/>
              </w:rPr>
              <w:t xml:space="preserve">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18">
            <w:pPr>
              <w:jc w:val="center"/>
              <w:rPr>
                <w:color w:val="000000"/>
                <w:sz w:val="16"/>
                <w:szCs w:val="16"/>
                <w:vertAlign w:val="baseline"/>
              </w:rPr>
            </w:pPr>
            <w:r w:rsidDel="00000000" w:rsidR="00000000" w:rsidRPr="00000000">
              <w:rPr>
                <w:color w:val="000000"/>
                <w:sz w:val="16"/>
                <w:szCs w:val="16"/>
                <w:vertAlign w:val="baseline"/>
                <w:rtl w:val="0"/>
              </w:rPr>
              <w:t xml:space="preserve">Bilecik</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9">
            <w:pPr>
              <w:jc w:val="center"/>
              <w:rPr>
                <w:color w:val="000000"/>
                <w:sz w:val="16"/>
                <w:szCs w:val="16"/>
                <w:vertAlign w:val="baseline"/>
              </w:rPr>
            </w:pPr>
            <w:r w:rsidDel="00000000" w:rsidR="00000000" w:rsidRPr="00000000">
              <w:rPr>
                <w:rtl w:val="0"/>
              </w:rPr>
            </w:r>
          </w:p>
          <w:p w:rsidR="00000000" w:rsidDel="00000000" w:rsidP="00000000" w:rsidRDefault="00000000" w:rsidRPr="00000000" w14:paraId="0000001A">
            <w:pPr>
              <w:jc w:val="center"/>
              <w:rPr>
                <w:color w:val="000000"/>
                <w:sz w:val="16"/>
                <w:szCs w:val="16"/>
                <w:vertAlign w:val="baseline"/>
              </w:rPr>
            </w:pPr>
            <w:r w:rsidDel="00000000" w:rsidR="00000000" w:rsidRPr="00000000">
              <w:rPr>
                <w:color w:val="000000"/>
                <w:sz w:val="16"/>
                <w:szCs w:val="16"/>
                <w:vertAlign w:val="baseline"/>
                <w:rtl w:val="0"/>
              </w:rPr>
              <w:t xml:space="preserve">Bozüyük</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B">
            <w:pPr>
              <w:jc w:val="center"/>
              <w:rPr>
                <w:color w:val="000000"/>
                <w:sz w:val="16"/>
                <w:szCs w:val="16"/>
                <w:vertAlign w:val="baseline"/>
              </w:rPr>
            </w:pPr>
            <w:r w:rsidDel="00000000" w:rsidR="00000000" w:rsidRPr="00000000">
              <w:rPr>
                <w:color w:val="000000"/>
                <w:sz w:val="16"/>
                <w:szCs w:val="16"/>
                <w:vertAlign w:val="baseline"/>
                <w:rtl w:val="0"/>
              </w:rPr>
              <w:t xml:space="preserve">İçköy Mahallesi</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C">
            <w:pPr>
              <w:jc w:val="center"/>
              <w:rPr>
                <w:color w:val="000000"/>
                <w:sz w:val="16"/>
                <w:szCs w:val="16"/>
                <w:vertAlign w:val="baseline"/>
              </w:rPr>
            </w:pPr>
            <w:r w:rsidDel="00000000" w:rsidR="00000000" w:rsidRPr="00000000">
              <w:rPr>
                <w:color w:val="000000"/>
                <w:sz w:val="16"/>
                <w:szCs w:val="16"/>
                <w:vertAlign w:val="baseline"/>
                <w:rtl w:val="0"/>
              </w:rPr>
              <w:t xml:space="preserve"> Çalılık ve Ham Toprak</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D">
            <w:pPr>
              <w:jc w:val="center"/>
              <w:rPr>
                <w:color w:val="000000"/>
                <w:sz w:val="16"/>
                <w:szCs w:val="16"/>
                <w:vertAlign w:val="baseline"/>
              </w:rPr>
            </w:pPr>
            <w:r w:rsidDel="00000000" w:rsidR="00000000" w:rsidRPr="00000000">
              <w:rPr>
                <w:color w:val="000000"/>
                <w:sz w:val="16"/>
                <w:szCs w:val="16"/>
                <w:vertAlign w:val="baseline"/>
                <w:rtl w:val="0"/>
              </w:rPr>
              <w:t xml:space="preserve">1503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1E">
            <w:pPr>
              <w:jc w:val="center"/>
              <w:rPr>
                <w:color w:val="000000"/>
                <w:sz w:val="16"/>
                <w:szCs w:val="16"/>
                <w:vertAlign w:val="baseline"/>
              </w:rPr>
            </w:pPr>
            <w:r w:rsidDel="00000000" w:rsidR="00000000" w:rsidRPr="00000000">
              <w:rPr>
                <w:color w:val="000000"/>
                <w:sz w:val="16"/>
                <w:szCs w:val="16"/>
                <w:vertAlign w:val="baseline"/>
                <w:rtl w:val="0"/>
              </w:rPr>
              <w:t xml:space="preserve">33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1F">
            <w:pPr>
              <w:jc w:val="center"/>
              <w:rPr>
                <w:color w:val="000000"/>
                <w:sz w:val="16"/>
                <w:szCs w:val="16"/>
                <w:vertAlign w:val="baseline"/>
              </w:rPr>
            </w:pPr>
            <w:r w:rsidDel="00000000" w:rsidR="00000000" w:rsidRPr="00000000">
              <w:rPr>
                <w:color w:val="000000"/>
                <w:sz w:val="16"/>
                <w:szCs w:val="16"/>
                <w:vertAlign w:val="baseline"/>
                <w:rtl w:val="0"/>
              </w:rPr>
              <w:t xml:space="preserve">3.587,00</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20">
            <w:pPr>
              <w:jc w:val="center"/>
              <w:rPr>
                <w:color w:val="000000"/>
                <w:sz w:val="16"/>
                <w:szCs w:val="16"/>
                <w:vertAlign w:val="baseline"/>
              </w:rPr>
            </w:pPr>
            <w:r w:rsidDel="00000000" w:rsidR="00000000" w:rsidRPr="00000000">
              <w:rPr>
                <w:color w:val="000000"/>
                <w:sz w:val="16"/>
                <w:szCs w:val="16"/>
                <w:vertAlign w:val="baseline"/>
                <w:rtl w:val="0"/>
              </w:rPr>
              <w:t xml:space="preserve">İmarsız</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1">
            <w:pPr>
              <w:jc w:val="center"/>
              <w:rPr>
                <w:color w:val="000000"/>
                <w:sz w:val="16"/>
                <w:szCs w:val="16"/>
                <w:vertAlign w:val="baseline"/>
              </w:rPr>
            </w:pPr>
            <w:r w:rsidDel="00000000" w:rsidR="00000000" w:rsidRPr="00000000">
              <w:rPr>
                <w:rtl w:val="0"/>
              </w:rPr>
            </w:r>
          </w:p>
          <w:p w:rsidR="00000000" w:rsidDel="00000000" w:rsidP="00000000" w:rsidRDefault="00000000" w:rsidRPr="00000000" w14:paraId="00000022">
            <w:pPr>
              <w:jc w:val="center"/>
              <w:rPr>
                <w:color w:val="000000"/>
                <w:sz w:val="16"/>
                <w:szCs w:val="16"/>
                <w:vertAlign w:val="baseline"/>
              </w:rPr>
            </w:pPr>
            <w:r w:rsidDel="00000000" w:rsidR="00000000" w:rsidRPr="00000000">
              <w:rPr>
                <w:color w:val="000000"/>
                <w:sz w:val="16"/>
                <w:szCs w:val="16"/>
                <w:vertAlign w:val="baseline"/>
                <w:rtl w:val="0"/>
              </w:rPr>
              <w:t xml:space="preserve">Boş</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23">
            <w:pPr>
              <w:jc w:val="center"/>
              <w:rPr>
                <w:color w:val="000000"/>
                <w:sz w:val="16"/>
                <w:szCs w:val="16"/>
                <w:vertAlign w:val="baseline"/>
              </w:rPr>
            </w:pPr>
            <w:r w:rsidDel="00000000" w:rsidR="00000000" w:rsidRPr="00000000">
              <w:rPr>
                <w:color w:val="000000"/>
                <w:sz w:val="16"/>
                <w:szCs w:val="16"/>
                <w:vertAlign w:val="baseline"/>
                <w:rtl w:val="0"/>
              </w:rPr>
              <w:t xml:space="preserve">180,00</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24">
            <w:pPr>
              <w:jc w:val="center"/>
              <w:rPr>
                <w:color w:val="000000"/>
                <w:sz w:val="16"/>
                <w:szCs w:val="16"/>
                <w:vertAlign w:val="baseline"/>
              </w:rPr>
            </w:pPr>
            <w:r w:rsidDel="00000000" w:rsidR="00000000" w:rsidRPr="00000000">
              <w:rPr>
                <w:color w:val="000000"/>
                <w:sz w:val="16"/>
                <w:szCs w:val="16"/>
                <w:vertAlign w:val="baseline"/>
                <w:rtl w:val="0"/>
              </w:rPr>
              <w:t xml:space="preserve">08/01/2021 – 17:30</w:t>
            </w:r>
          </w:p>
        </w:tc>
      </w:tr>
      <w:tr>
        <w:trPr>
          <w:trHeight w:val="533" w:hRule="atLeast"/>
        </w:trPr>
        <w:tc>
          <w:tcPr>
            <w:tcBorders>
              <w:top w:color="000000" w:space="0" w:sz="4" w:val="single"/>
              <w:left w:color="000000" w:space="0" w:sz="8" w:val="single"/>
              <w:bottom w:color="000000" w:space="0" w:sz="4" w:val="single"/>
              <w:right w:color="000000" w:space="0" w:sz="4" w:val="single"/>
            </w:tcBorders>
            <w:vAlign w:val="center"/>
          </w:tcPr>
          <w:p w:rsidR="00000000" w:rsidDel="00000000" w:rsidP="00000000" w:rsidRDefault="00000000" w:rsidRPr="00000000" w14:paraId="00000025">
            <w:pPr>
              <w:jc w:val="center"/>
              <w:rPr>
                <w:b w:val="0"/>
                <w:color w:val="000000"/>
                <w:sz w:val="16"/>
                <w:szCs w:val="16"/>
                <w:vertAlign w:val="baseline"/>
              </w:rPr>
            </w:pPr>
            <w:r w:rsidDel="00000000" w:rsidR="00000000" w:rsidRPr="00000000">
              <w:rPr>
                <w:b w:val="1"/>
                <w:color w:val="000000"/>
                <w:sz w:val="16"/>
                <w:szCs w:val="16"/>
                <w:vertAlign w:val="baseline"/>
                <w:rtl w:val="0"/>
              </w:rPr>
              <w:t xml:space="preserve">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26">
            <w:pPr>
              <w:jc w:val="center"/>
              <w:rPr>
                <w:color w:val="000000"/>
                <w:sz w:val="16"/>
                <w:szCs w:val="16"/>
                <w:vertAlign w:val="baseline"/>
              </w:rPr>
            </w:pPr>
            <w:r w:rsidDel="00000000" w:rsidR="00000000" w:rsidRPr="00000000">
              <w:rPr>
                <w:color w:val="000000"/>
                <w:sz w:val="16"/>
                <w:szCs w:val="16"/>
                <w:vertAlign w:val="baseline"/>
                <w:rtl w:val="0"/>
              </w:rPr>
              <w:t xml:space="preserve">Bilecik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7">
            <w:pPr>
              <w:jc w:val="center"/>
              <w:rPr>
                <w:color w:val="000000"/>
                <w:sz w:val="16"/>
                <w:szCs w:val="16"/>
                <w:vertAlign w:val="baseline"/>
              </w:rPr>
            </w:pPr>
            <w:r w:rsidDel="00000000" w:rsidR="00000000" w:rsidRPr="00000000">
              <w:rPr>
                <w:color w:val="000000"/>
                <w:sz w:val="16"/>
                <w:szCs w:val="16"/>
                <w:vertAlign w:val="baseline"/>
                <w:rtl w:val="0"/>
              </w:rPr>
              <w:t xml:space="preserve">Bozüyük</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8">
            <w:pPr>
              <w:jc w:val="center"/>
              <w:rPr>
                <w:color w:val="000000"/>
                <w:sz w:val="16"/>
                <w:szCs w:val="16"/>
                <w:vertAlign w:val="baseline"/>
              </w:rPr>
            </w:pPr>
            <w:r w:rsidDel="00000000" w:rsidR="00000000" w:rsidRPr="00000000">
              <w:rPr>
                <w:color w:val="000000"/>
                <w:sz w:val="16"/>
                <w:szCs w:val="16"/>
                <w:vertAlign w:val="baseline"/>
                <w:rtl w:val="0"/>
              </w:rPr>
              <w:t xml:space="preserve">İçköy Mahallesi</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9">
            <w:pPr>
              <w:jc w:val="center"/>
              <w:rPr>
                <w:color w:val="000000"/>
                <w:sz w:val="16"/>
                <w:szCs w:val="16"/>
                <w:vertAlign w:val="baseline"/>
              </w:rPr>
            </w:pPr>
            <w:r w:rsidDel="00000000" w:rsidR="00000000" w:rsidRPr="00000000">
              <w:rPr>
                <w:color w:val="000000"/>
                <w:sz w:val="16"/>
                <w:szCs w:val="16"/>
                <w:vertAlign w:val="baseline"/>
                <w:rtl w:val="0"/>
              </w:rPr>
              <w:t xml:space="preserve">Çalılık ve Ham Toprak</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A">
            <w:pPr>
              <w:jc w:val="center"/>
              <w:rPr>
                <w:color w:val="000000"/>
                <w:sz w:val="16"/>
                <w:szCs w:val="16"/>
                <w:vertAlign w:val="baseline"/>
              </w:rPr>
            </w:pPr>
            <w:r w:rsidDel="00000000" w:rsidR="00000000" w:rsidRPr="00000000">
              <w:rPr>
                <w:color w:val="000000"/>
                <w:sz w:val="16"/>
                <w:szCs w:val="16"/>
                <w:vertAlign w:val="baseline"/>
                <w:rtl w:val="0"/>
              </w:rPr>
              <w:t xml:space="preserve">1503</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2B">
            <w:pPr>
              <w:jc w:val="center"/>
              <w:rPr>
                <w:color w:val="000000"/>
                <w:sz w:val="16"/>
                <w:szCs w:val="16"/>
                <w:vertAlign w:val="baseline"/>
              </w:rPr>
            </w:pPr>
            <w:r w:rsidDel="00000000" w:rsidR="00000000" w:rsidRPr="00000000">
              <w:rPr>
                <w:color w:val="000000"/>
                <w:sz w:val="16"/>
                <w:szCs w:val="16"/>
                <w:vertAlign w:val="baseline"/>
                <w:rtl w:val="0"/>
              </w:rPr>
              <w:t xml:space="preserve">34</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2C">
            <w:pPr>
              <w:jc w:val="center"/>
              <w:rPr>
                <w:color w:val="000000"/>
                <w:sz w:val="16"/>
                <w:szCs w:val="16"/>
                <w:vertAlign w:val="baseline"/>
              </w:rPr>
            </w:pPr>
            <w:r w:rsidDel="00000000" w:rsidR="00000000" w:rsidRPr="00000000">
              <w:rPr>
                <w:color w:val="000000"/>
                <w:sz w:val="16"/>
                <w:szCs w:val="16"/>
                <w:vertAlign w:val="baseline"/>
                <w:rtl w:val="0"/>
              </w:rPr>
              <w:t xml:space="preserve">3.221,00</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2D">
            <w:pPr>
              <w:jc w:val="center"/>
              <w:rPr>
                <w:color w:val="000000"/>
                <w:sz w:val="16"/>
                <w:szCs w:val="16"/>
                <w:vertAlign w:val="baseline"/>
              </w:rPr>
            </w:pPr>
            <w:r w:rsidDel="00000000" w:rsidR="00000000" w:rsidRPr="00000000">
              <w:rPr>
                <w:color w:val="000000"/>
                <w:sz w:val="16"/>
                <w:szCs w:val="16"/>
                <w:vertAlign w:val="baseline"/>
                <w:rtl w:val="0"/>
              </w:rPr>
              <w:t xml:space="preserve">İmarsız</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E">
            <w:pPr>
              <w:jc w:val="center"/>
              <w:rPr>
                <w:color w:val="000000"/>
                <w:sz w:val="16"/>
                <w:szCs w:val="16"/>
                <w:vertAlign w:val="baseline"/>
              </w:rPr>
            </w:pPr>
            <w:r w:rsidDel="00000000" w:rsidR="00000000" w:rsidRPr="00000000">
              <w:rPr>
                <w:color w:val="000000"/>
                <w:sz w:val="16"/>
                <w:szCs w:val="16"/>
                <w:vertAlign w:val="baseline"/>
                <w:rtl w:val="0"/>
              </w:rPr>
              <w:t xml:space="preserve">Boş</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2F">
            <w:pPr>
              <w:jc w:val="center"/>
              <w:rPr>
                <w:color w:val="000000"/>
                <w:sz w:val="16"/>
                <w:szCs w:val="16"/>
                <w:vertAlign w:val="baseline"/>
              </w:rPr>
            </w:pPr>
            <w:r w:rsidDel="00000000" w:rsidR="00000000" w:rsidRPr="00000000">
              <w:rPr>
                <w:color w:val="000000"/>
                <w:sz w:val="16"/>
                <w:szCs w:val="16"/>
                <w:vertAlign w:val="baseline"/>
                <w:rtl w:val="0"/>
              </w:rPr>
              <w:t xml:space="preserve">162,00</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30">
            <w:pPr>
              <w:jc w:val="center"/>
              <w:rPr>
                <w:color w:val="000000"/>
                <w:sz w:val="16"/>
                <w:szCs w:val="16"/>
                <w:vertAlign w:val="baseline"/>
              </w:rPr>
            </w:pPr>
            <w:r w:rsidDel="00000000" w:rsidR="00000000" w:rsidRPr="00000000">
              <w:rPr>
                <w:color w:val="000000"/>
                <w:sz w:val="16"/>
                <w:szCs w:val="16"/>
                <w:vertAlign w:val="baseline"/>
                <w:rtl w:val="0"/>
              </w:rPr>
              <w:t xml:space="preserve">08/01/2021 – 17:30</w:t>
            </w:r>
          </w:p>
        </w:tc>
      </w:tr>
    </w:tb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59" w:lineRule="auto"/>
        <w:ind w:left="1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ab/>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59" w:lineRule="auto"/>
        <w:ind w:left="1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ab/>
        <w:tab/>
        <w:t xml:space="preserve">Kiraya Verme Esasları; </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59" w:lineRule="auto"/>
        <w:ind w:left="1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ab/>
      </w:r>
      <w:r w:rsidDel="00000000" w:rsidR="00000000" w:rsidRPr="00000000">
        <w:rPr>
          <w:rtl w:val="0"/>
        </w:rPr>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84"/>
        </w:tabs>
        <w:spacing w:after="0" w:before="0" w:line="259" w:lineRule="auto"/>
        <w:ind w:left="1060" w:right="0" w:hanging="360"/>
        <w:jc w:val="both"/>
        <w:rPr>
          <w:i w:val="0"/>
          <w:smallCaps w:val="0"/>
          <w:strike w:val="0"/>
          <w:color w:val="000000"/>
          <w:sz w:val="18"/>
          <w:szCs w:val="18"/>
          <w:u w:val="none"/>
          <w:shd w:fill="auto" w:val="clear"/>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Hazine taşınmazları, Tarım ve Orman Bakanlığınca belirlenen ve bu Tebliğ ekinde (Ek-1) yer alan tıbbi ve aromatik bitkiler ile süs bitkilerinin üretimi yapılmak üzere hak sahiplerine verilebilir. İhtiyaç halinde Tarım ve Orman Bakanlığının görüşleri doğrultusunda tıbbi ve aromatik bitkiler grubu içerisinde yer alan bitki türlerinde değişikliğe gidilebilir. </w:t>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84"/>
        </w:tabs>
        <w:spacing w:after="0" w:before="0" w:line="259" w:lineRule="auto"/>
        <w:ind w:left="1060" w:right="0" w:hanging="360"/>
        <w:jc w:val="both"/>
        <w:rPr>
          <w:i w:val="0"/>
          <w:smallCaps w:val="0"/>
          <w:strike w:val="0"/>
          <w:color w:val="000000"/>
          <w:sz w:val="18"/>
          <w:szCs w:val="18"/>
          <w:u w:val="none"/>
          <w:shd w:fill="auto" w:val="clear"/>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Tarım İdaresince uygun görülmeyen süs bitkileri ile 379 sayılı Tebliğ ekinde (Ek-1) yer almayan tıbbi ve aromatik bitkiler için yapılan kiralama talepleri değerlendirmeye alınmaz.</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84"/>
        </w:tabs>
        <w:spacing w:after="0" w:before="0" w:line="259" w:lineRule="auto"/>
        <w:ind w:left="1060" w:right="0" w:hanging="360"/>
        <w:jc w:val="both"/>
        <w:rPr>
          <w:i w:val="0"/>
          <w:smallCaps w:val="0"/>
          <w:strike w:val="0"/>
          <w:color w:val="000000"/>
          <w:sz w:val="18"/>
          <w:szCs w:val="18"/>
          <w:u w:val="none"/>
          <w:shd w:fill="auto" w:val="clear"/>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Hazine taşınmazları, çok yıllık bitkiler için 10 (on) yıla, tek yıllık bitkiler için 5 (beş) yıla kadar kiraya verilecektir. </w:t>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84"/>
        </w:tabs>
        <w:spacing w:after="0" w:before="0" w:line="259" w:lineRule="auto"/>
        <w:ind w:left="1060" w:right="0" w:hanging="360"/>
        <w:jc w:val="both"/>
        <w:rPr>
          <w:i w:val="0"/>
          <w:smallCaps w:val="0"/>
          <w:strike w:val="0"/>
          <w:color w:val="000000"/>
          <w:sz w:val="18"/>
          <w:szCs w:val="18"/>
          <w:u w:val="none"/>
          <w:shd w:fill="auto" w:val="clear"/>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Hak sahibi olarak belirlenenlere, aynı ilçe sınırları içerisinde, tıbbi ve aromatik bitkiler için en fazla 1.000.000 m</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2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ye kadar, süs bitkileri için en fazla 2.000.000 m</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ye kadar Hazine taşınmazı kiraya verilebilir.</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59"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59"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ab/>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Başvuru Şekli ve Kiraya Verme Şartları;</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59" w:lineRule="auto"/>
        <w:ind w:left="1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ab/>
      </w:r>
    </w:p>
    <w:p w:rsidR="00000000" w:rsidDel="00000000" w:rsidP="00000000" w:rsidRDefault="00000000" w:rsidRPr="00000000" w14:paraId="0000003B">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0" w:before="0" w:line="259" w:lineRule="auto"/>
        <w:ind w:left="1065" w:right="0" w:hanging="360"/>
        <w:jc w:val="both"/>
        <w:rPr>
          <w:rFonts w:ascii="Times New Roman" w:cs="Times New Roman" w:eastAsia="Times New Roman" w:hAnsi="Times New Roman"/>
          <w:i w:val="0"/>
          <w:smallCaps w:val="0"/>
          <w:strike w:val="0"/>
          <w:color w:val="000000"/>
          <w:sz w:val="18"/>
          <w:szCs w:val="18"/>
          <w:u w:val="none"/>
          <w:shd w:fill="auto" w:val="clear"/>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İlanda belirtilen taşınmazın üzerinde tıbbi ve aromatik bitkiler veya süs bitkileri yetiştirmek isteyen gerçek veya tüzel kişilerin, 379 sayılı Milli Emlak Genel Tebliğine ek (Ek-2), Tıbbi ve Aromatik Bitkiler İle Süs Bitkileri Üretimine Yönelik Kiralama Amaçlı Ön Başvuru Formu ve ekleriyle birlikte ilanda belirtilen son başvuru tarihine kadar Bozüyük Kaymakamlığı Milli Emlak Şefliğine başvurması gerekmektedir.</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59" w:lineRule="auto"/>
        <w:ind w:left="1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ab/>
        <w:tab/>
      </w:r>
      <w:r w:rsidDel="00000000" w:rsidR="00000000" w:rsidRPr="00000000">
        <w:rPr>
          <w:rtl w:val="0"/>
        </w:rPr>
      </w:r>
    </w:p>
    <w:p w:rsidR="00000000" w:rsidDel="00000000" w:rsidP="00000000" w:rsidRDefault="00000000" w:rsidRPr="00000000" w14:paraId="0000003D">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0" w:before="0" w:line="259" w:lineRule="auto"/>
        <w:ind w:left="1065" w:right="0" w:hanging="360"/>
        <w:jc w:val="both"/>
        <w:rPr>
          <w:rFonts w:ascii="Times New Roman" w:cs="Times New Roman" w:eastAsia="Times New Roman" w:hAnsi="Times New Roman"/>
          <w:i w:val="0"/>
          <w:smallCaps w:val="0"/>
          <w:strike w:val="0"/>
          <w:color w:val="000000"/>
          <w:sz w:val="18"/>
          <w:szCs w:val="18"/>
          <w:u w:val="none"/>
          <w:shd w:fill="auto" w:val="clear"/>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İlan edilen Hazine taşınmazları için birden fazla başvurunun olması durumunda, Tebliğ eki, Başvuruların Öncelik Açısından Değerlendirilme </w:t>
        <w:br w:type="textWrapping"/>
        <w:t xml:space="preserve">Formunda (Ek-4) belirtilen hak sahipliğini belirleyici puanlamaya tabi tutulacağından puanlamaya esas tüm bilgi belgelerin başvuru formu ekinde teslim edilmesi gerekmektedir</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Başvuru süresi sona erdikten sonra bilgi ve belge kabul edilmez.</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0"/>
          <w:i w:val="0"/>
          <w:smallCaps w:val="0"/>
          <w:strike w:val="0"/>
          <w:color w:val="1c283d"/>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0" w:before="0" w:line="259" w:lineRule="auto"/>
        <w:ind w:left="1065" w:right="0" w:hanging="360"/>
        <w:jc w:val="both"/>
        <w:rPr>
          <w:rFonts w:ascii="Times New Roman" w:cs="Times New Roman" w:eastAsia="Times New Roman" w:hAnsi="Times New Roman"/>
          <w:i w:val="0"/>
          <w:smallCaps w:val="0"/>
          <w:strike w:val="0"/>
          <w:color w:val="000000"/>
          <w:sz w:val="18"/>
          <w:szCs w:val="18"/>
          <w:u w:val="none"/>
          <w:shd w:fill="auto" w:val="clear"/>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Hak sahipliği, 379 sayılı Milli Emlak Genel Tebliğinde belirtilen usul ve esaslar çerçevesinde ilgili Tarım İdaresince belirlenecektir.</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0"/>
          <w:i w:val="0"/>
          <w:smallCaps w:val="0"/>
          <w:strike w:val="0"/>
          <w:color w:val="1c283d"/>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0" w:before="0" w:line="259" w:lineRule="auto"/>
        <w:ind w:left="1065" w:right="0" w:hanging="360"/>
        <w:jc w:val="both"/>
        <w:rPr>
          <w:rFonts w:ascii="Times New Roman" w:cs="Times New Roman" w:eastAsia="Times New Roman" w:hAnsi="Times New Roman"/>
          <w:i w:val="0"/>
          <w:smallCaps w:val="0"/>
          <w:strike w:val="0"/>
          <w:color w:val="000000"/>
          <w:sz w:val="18"/>
          <w:szCs w:val="18"/>
          <w:u w:val="none"/>
          <w:shd w:fill="auto" w:val="clear"/>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Taşınmaz, Tarım İdaresince bildirilen hak sahibine 2886 sayılı Devlet İhale Kanununun 51’inci maddesinin birinci fıkrasının (g) bendi uyarınca pazarlık usulüyle ihale edilecek ve ihale sonucunda oluşacak bedel üzerinden kira sözleşmesi düzenlenecektir.</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0" w:before="0" w:line="259" w:lineRule="auto"/>
        <w:ind w:left="1065" w:right="0" w:hanging="360"/>
        <w:jc w:val="both"/>
        <w:rPr>
          <w:rFonts w:ascii="Times New Roman" w:cs="Times New Roman" w:eastAsia="Times New Roman" w:hAnsi="Times New Roman"/>
          <w:i w:val="0"/>
          <w:smallCaps w:val="0"/>
          <w:strike w:val="0"/>
          <w:color w:val="000000"/>
          <w:sz w:val="18"/>
          <w:szCs w:val="18"/>
          <w:u w:val="none"/>
          <w:shd w:fill="auto" w:val="clear"/>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Başvurular posta aracılığı ile de yapılabilir. Ancak posta ile yapılacak başvurularda ilgili bilgi ve belgelerin son başvuru tarih ve saatine kadar Bozüyük Kaymakamlığı Milli Emlak Şefliğine ulaşmış olması gerekmektedir. Postada doğabilecek gecikmelerden dolayı idare sorumlu olmayacaktır.</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160" w:before="0" w:line="259" w:lineRule="auto"/>
        <w:ind w:left="1065" w:right="0" w:hanging="360"/>
        <w:jc w:val="both"/>
        <w:rPr>
          <w:rFonts w:ascii="Times New Roman" w:cs="Times New Roman" w:eastAsia="Times New Roman" w:hAnsi="Times New Roman"/>
          <w:i w:val="0"/>
          <w:smallCaps w:val="0"/>
          <w:strike w:val="0"/>
          <w:color w:val="000000"/>
          <w:sz w:val="18"/>
          <w:szCs w:val="18"/>
          <w:u w:val="none"/>
          <w:shd w:fill="auto" w:val="clear"/>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Kiralamaya ilişkin bilgiler </w:t>
      </w:r>
      <w:hyperlink r:id="rId6">
        <w:r w:rsidDel="00000000" w:rsidR="00000000" w:rsidRPr="00000000">
          <w:rPr>
            <w:rFonts w:ascii="Times New Roman" w:cs="Times New Roman" w:eastAsia="Times New Roman" w:hAnsi="Times New Roman"/>
            <w:b w:val="0"/>
            <w:i w:val="0"/>
            <w:smallCaps w:val="0"/>
            <w:strike w:val="0"/>
            <w:color w:val="0563c1"/>
            <w:sz w:val="18"/>
            <w:szCs w:val="18"/>
            <w:u w:val="single"/>
            <w:shd w:fill="auto" w:val="clear"/>
            <w:vertAlign w:val="baseline"/>
            <w:rtl w:val="0"/>
          </w:rPr>
          <w:t xml:space="preserve">https://bilecik.csb.gov.tr</w:t>
        </w:r>
      </w:hyperlink>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 </w:t>
      </w:r>
      <w:hyperlink r:id="rId7">
        <w:r w:rsidDel="00000000" w:rsidR="00000000" w:rsidRPr="00000000">
          <w:rPr>
            <w:rFonts w:ascii="Times New Roman" w:cs="Times New Roman" w:eastAsia="Times New Roman" w:hAnsi="Times New Roman"/>
            <w:b w:val="0"/>
            <w:i w:val="0"/>
            <w:smallCaps w:val="0"/>
            <w:strike w:val="0"/>
            <w:color w:val="0563c1"/>
            <w:sz w:val="18"/>
            <w:szCs w:val="18"/>
            <w:u w:val="single"/>
            <w:shd w:fill="auto" w:val="clear"/>
            <w:vertAlign w:val="baseline"/>
            <w:rtl w:val="0"/>
          </w:rPr>
          <w:t xml:space="preserve">http://www.bozuyuk.gov.tr</w:t>
        </w:r>
      </w:hyperlink>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ve  </w:t>
      </w:r>
      <w:hyperlink r:id="rId8">
        <w:r w:rsidDel="00000000" w:rsidR="00000000" w:rsidRPr="00000000">
          <w:rPr>
            <w:rFonts w:ascii="Times New Roman" w:cs="Times New Roman" w:eastAsia="Times New Roman" w:hAnsi="Times New Roman"/>
            <w:b w:val="0"/>
            <w:i w:val="0"/>
            <w:smallCaps w:val="0"/>
            <w:strike w:val="0"/>
            <w:color w:val="0563c1"/>
            <w:sz w:val="18"/>
            <w:szCs w:val="18"/>
            <w:u w:val="single"/>
            <w:shd w:fill="auto" w:val="clear"/>
            <w:vertAlign w:val="baseline"/>
            <w:rtl w:val="0"/>
          </w:rPr>
          <w:t xml:space="preserve">https://www.milliemlak.gov.tr</w:t>
        </w:r>
      </w:hyperlink>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adresinden öğrenilebilir.</w:t>
      </w:r>
    </w:p>
    <w:p w:rsidR="00000000" w:rsidDel="00000000" w:rsidP="00000000" w:rsidRDefault="00000000" w:rsidRPr="00000000" w14:paraId="00000046">
      <w:pPr>
        <w:ind w:firstLine="708"/>
        <w:jc w:val="both"/>
        <w:rPr>
          <w:b w:val="0"/>
          <w:color w:val="000000"/>
          <w:sz w:val="18"/>
          <w:szCs w:val="18"/>
          <w:vertAlign w:val="baseline"/>
        </w:rPr>
      </w:pPr>
      <w:r w:rsidDel="00000000" w:rsidR="00000000" w:rsidRPr="00000000">
        <w:rPr>
          <w:rtl w:val="0"/>
        </w:rPr>
      </w:r>
    </w:p>
    <w:p w:rsidR="00000000" w:rsidDel="00000000" w:rsidP="00000000" w:rsidRDefault="00000000" w:rsidRPr="00000000" w14:paraId="00000047">
      <w:pPr>
        <w:ind w:firstLine="708"/>
        <w:jc w:val="both"/>
        <w:rPr>
          <w:b w:val="0"/>
          <w:sz w:val="18"/>
          <w:szCs w:val="18"/>
          <w:vertAlign w:val="baseline"/>
        </w:rPr>
      </w:pPr>
      <w:r w:rsidDel="00000000" w:rsidR="00000000" w:rsidRPr="00000000">
        <w:rPr>
          <w:sz w:val="18"/>
          <w:szCs w:val="18"/>
          <w:vertAlign w:val="baseline"/>
          <w:rtl w:val="0"/>
        </w:rPr>
        <w:tab/>
      </w:r>
      <w:r w:rsidDel="00000000" w:rsidR="00000000" w:rsidRPr="00000000">
        <w:rPr>
          <w:b w:val="1"/>
          <w:sz w:val="18"/>
          <w:szCs w:val="18"/>
          <w:vertAlign w:val="baseline"/>
          <w:rtl w:val="0"/>
        </w:rPr>
        <w:tab/>
        <w:tab/>
        <w:tab/>
        <w:tab/>
        <w:tab/>
        <w:tab/>
        <w:tab/>
        <w:tab/>
        <w:tab/>
        <w:tab/>
        <w:tab/>
        <w:tab/>
        <w:tab/>
        <w:tab/>
        <w:tab/>
        <w:tab/>
        <w:tab/>
        <w:tab/>
        <w:tab/>
        <w:tab/>
        <w:tab/>
        <w:tab/>
        <w:tab/>
        <w:tab/>
        <w:tab/>
        <w:tab/>
        <w:tab/>
        <w:tab/>
        <w:tab/>
        <w:tab/>
        <w:tab/>
        <w:t xml:space="preserve">İLAN OLUNUR.</w:t>
      </w:r>
      <w:r w:rsidDel="00000000" w:rsidR="00000000" w:rsidRPr="00000000">
        <w:rPr>
          <w:rtl w:val="0"/>
        </w:rPr>
      </w:r>
    </w:p>
    <w:sectPr>
      <w:pgSz w:h="11907" w:w="16839" w:orient="landscape"/>
      <w:pgMar w:bottom="141" w:top="284" w:left="426" w:right="396"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60" w:hanging="360"/>
      </w:pPr>
      <w:rPr>
        <w:rFonts w:ascii="Times New Roman" w:cs="Times New Roman" w:eastAsia="Times New Roman" w:hAnsi="Times New Roman"/>
        <w:b w:val="1"/>
        <w:vertAlign w:val="baseline"/>
      </w:rPr>
    </w:lvl>
    <w:lvl w:ilvl="1">
      <w:start w:val="1"/>
      <w:numFmt w:val="lowerLetter"/>
      <w:lvlText w:val="%2."/>
      <w:lvlJc w:val="left"/>
      <w:pPr>
        <w:ind w:left="1780" w:hanging="360"/>
      </w:pPr>
      <w:rPr>
        <w:vertAlign w:val="baseline"/>
      </w:rPr>
    </w:lvl>
    <w:lvl w:ilvl="2">
      <w:start w:val="1"/>
      <w:numFmt w:val="lowerRoman"/>
      <w:lvlText w:val="%3."/>
      <w:lvlJc w:val="right"/>
      <w:pPr>
        <w:ind w:left="2500" w:hanging="180"/>
      </w:pPr>
      <w:rPr>
        <w:vertAlign w:val="baseline"/>
      </w:rPr>
    </w:lvl>
    <w:lvl w:ilvl="3">
      <w:start w:val="1"/>
      <w:numFmt w:val="decimal"/>
      <w:lvlText w:val="%4."/>
      <w:lvlJc w:val="left"/>
      <w:pPr>
        <w:ind w:left="3220" w:hanging="360"/>
      </w:pPr>
      <w:rPr>
        <w:vertAlign w:val="baseline"/>
      </w:rPr>
    </w:lvl>
    <w:lvl w:ilvl="4">
      <w:start w:val="1"/>
      <w:numFmt w:val="lowerLetter"/>
      <w:lvlText w:val="%5."/>
      <w:lvlJc w:val="left"/>
      <w:pPr>
        <w:ind w:left="3940" w:hanging="360"/>
      </w:pPr>
      <w:rPr>
        <w:vertAlign w:val="baseline"/>
      </w:rPr>
    </w:lvl>
    <w:lvl w:ilvl="5">
      <w:start w:val="1"/>
      <w:numFmt w:val="lowerRoman"/>
      <w:lvlText w:val="%6."/>
      <w:lvlJc w:val="right"/>
      <w:pPr>
        <w:ind w:left="4660" w:hanging="180"/>
      </w:pPr>
      <w:rPr>
        <w:vertAlign w:val="baseline"/>
      </w:rPr>
    </w:lvl>
    <w:lvl w:ilvl="6">
      <w:start w:val="1"/>
      <w:numFmt w:val="decimal"/>
      <w:lvlText w:val="%7."/>
      <w:lvlJc w:val="left"/>
      <w:pPr>
        <w:ind w:left="5380" w:hanging="360"/>
      </w:pPr>
      <w:rPr>
        <w:vertAlign w:val="baseline"/>
      </w:rPr>
    </w:lvl>
    <w:lvl w:ilvl="7">
      <w:start w:val="1"/>
      <w:numFmt w:val="lowerLetter"/>
      <w:lvlText w:val="%8."/>
      <w:lvlJc w:val="left"/>
      <w:pPr>
        <w:ind w:left="6100" w:hanging="360"/>
      </w:pPr>
      <w:rPr>
        <w:vertAlign w:val="baseline"/>
      </w:rPr>
    </w:lvl>
    <w:lvl w:ilvl="8">
      <w:start w:val="1"/>
      <w:numFmt w:val="lowerRoman"/>
      <w:lvlText w:val="%9."/>
      <w:lvlJc w:val="right"/>
      <w:pPr>
        <w:ind w:left="6820" w:hanging="180"/>
      </w:pPr>
      <w:rPr>
        <w:vertAlign w:val="baseline"/>
      </w:rPr>
    </w:lvl>
  </w:abstractNum>
  <w:abstractNum w:abstractNumId="2">
    <w:lvl w:ilvl="0">
      <w:start w:val="1"/>
      <w:numFmt w:val="decimal"/>
      <w:lvlText w:val="%1-"/>
      <w:lvlJc w:val="left"/>
      <w:pPr>
        <w:ind w:left="1065" w:hanging="360"/>
      </w:pPr>
      <w:rPr>
        <w:b w:val="1"/>
        <w:vertAlign w:val="baseline"/>
      </w:rPr>
    </w:lvl>
    <w:lvl w:ilvl="1">
      <w:start w:val="1"/>
      <w:numFmt w:val="lowerLetter"/>
      <w:lvlText w:val="%2."/>
      <w:lvlJc w:val="left"/>
      <w:pPr>
        <w:ind w:left="1785" w:hanging="360"/>
      </w:pPr>
      <w:rPr>
        <w:vertAlign w:val="baseline"/>
      </w:rPr>
    </w:lvl>
    <w:lvl w:ilvl="2">
      <w:start w:val="1"/>
      <w:numFmt w:val="lowerRoman"/>
      <w:lvlText w:val="%3."/>
      <w:lvlJc w:val="right"/>
      <w:pPr>
        <w:ind w:left="2505" w:hanging="180"/>
      </w:pPr>
      <w:rPr>
        <w:vertAlign w:val="baseline"/>
      </w:rPr>
    </w:lvl>
    <w:lvl w:ilvl="3">
      <w:start w:val="1"/>
      <w:numFmt w:val="decimal"/>
      <w:lvlText w:val="%4."/>
      <w:lvlJc w:val="left"/>
      <w:pPr>
        <w:ind w:left="3225" w:hanging="360"/>
      </w:pPr>
      <w:rPr>
        <w:vertAlign w:val="baseline"/>
      </w:rPr>
    </w:lvl>
    <w:lvl w:ilvl="4">
      <w:start w:val="1"/>
      <w:numFmt w:val="lowerLetter"/>
      <w:lvlText w:val="%5."/>
      <w:lvlJc w:val="left"/>
      <w:pPr>
        <w:ind w:left="3945" w:hanging="360"/>
      </w:pPr>
      <w:rPr>
        <w:vertAlign w:val="baseline"/>
      </w:rPr>
    </w:lvl>
    <w:lvl w:ilvl="5">
      <w:start w:val="1"/>
      <w:numFmt w:val="lowerRoman"/>
      <w:lvlText w:val="%6."/>
      <w:lvlJc w:val="right"/>
      <w:pPr>
        <w:ind w:left="4665" w:hanging="180"/>
      </w:pPr>
      <w:rPr>
        <w:vertAlign w:val="baseline"/>
      </w:rPr>
    </w:lvl>
    <w:lvl w:ilvl="6">
      <w:start w:val="1"/>
      <w:numFmt w:val="decimal"/>
      <w:lvlText w:val="%7."/>
      <w:lvlJc w:val="left"/>
      <w:pPr>
        <w:ind w:left="5385" w:hanging="360"/>
      </w:pPr>
      <w:rPr>
        <w:vertAlign w:val="baseline"/>
      </w:rPr>
    </w:lvl>
    <w:lvl w:ilvl="7">
      <w:start w:val="1"/>
      <w:numFmt w:val="lowerLetter"/>
      <w:lvlText w:val="%8."/>
      <w:lvlJc w:val="left"/>
      <w:pPr>
        <w:ind w:left="6105" w:hanging="360"/>
      </w:pPr>
      <w:rPr>
        <w:vertAlign w:val="baseline"/>
      </w:rPr>
    </w:lvl>
    <w:lvl w:ilvl="8">
      <w:start w:val="1"/>
      <w:numFmt w:val="lowerRoman"/>
      <w:lvlText w:val="%9."/>
      <w:lvlJc w:val="right"/>
      <w:pPr>
        <w:ind w:left="6825"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tr-T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ilecik.csb.gov.tr" TargetMode="External"/><Relationship Id="rId7" Type="http://schemas.openxmlformats.org/officeDocument/2006/relationships/hyperlink" Target="http://www.bozuyuk.gov.tr" TargetMode="External"/><Relationship Id="rId8" Type="http://schemas.openxmlformats.org/officeDocument/2006/relationships/hyperlink" Target="https://www.milliemlak.gov.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